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Customer service SLA template</w:t>
      </w:r>
    </w:p>
    <w:tbl>
      <w:tblPr>
        <w:tblW w:w="9411" w:type="dxa"/>
        <w:jc w:val="left"/>
        <w:tblBorders>
          <w:top w:val="single" w:sz="4" w:space="0" w:color="F2C4DA"/>
          <w:left w:val="single" w:sz="4" w:space="0" w:color="F2C4DA"/>
          <w:bottom w:val="single" w:sz="4" w:space="0" w:color="F2C4DA"/>
          <w:right w:val="single" w:sz="4" w:space="0" w:color="F2C4DA"/>
        </w:tblBorders>
        <w:tblLayout w:type="fixed"/>
        <w:tblCellMar>
          <w:top w:w="85" w:type="dxa"/>
          <w:left w:w="140" w:type="dxa"/>
          <w:bottom w:w="85" w:type="dxa"/>
          <w:right w:w="140" w:type="dxa"/>
        </w:tblCellMar>
        <w:tblLook w:firstColumn="1" w:firstRow="1" w:lastColumn="0" w:lastRow="0" w:noHBand="0" w:noVBand="1" w:val="04A0"/>
      </w:tblPr>
      <w:tblGrid>
        <w:gridCol w:w="9411"/>
      </w:tblGrid>
      <w:tr>
        <w:trPr>
          <w:cantSplit/>
        </w:trPr>
        <w:tc>
          <w:tcPr>
            <w:tcW w:w="9411" w:type="dxa"/>
            <w:shd w:val="clear" w:color="auto" w:fill="FCE7F3"/>
          </w:tcPr>
          <w:p>
            <w:pPr>
              <w:spacing w:after="0"/>
            </w:pPr>
            <w:r>
              <w:rPr>
                <w:b/>
              </w:rPr>
              <w:t xml:space="preserve">How to use this template: </w:t>
            </w:r>
            <w:r>
              <w:t>Replace everything in square brackets and set each target from a few weeks of your own measured times.</w:t>
            </w:r>
          </w:p>
        </w:tc>
      </w:tr>
    </w:tbl>
    <w:p>
      <w:pPr>
        <w:spacing w:before="0" w:after="0" w:line="160" w:lineRule="exact"/>
      </w:pPr>
      <w:r>
        <w:rPr>
          <w:sz w:val="4"/>
        </w:rPr>
      </w:r>
    </w:p>
    <w:p>
      <w:pPr>
        <w:pStyle w:val="Heading1"/>
      </w:pPr>
      <w:r>
        <w:t>1. About this SLA</w:t>
      </w:r>
    </w:p>
    <w:p>
      <w:r>
        <w:t>This service level agreement (SLA) is [a promise to our customers / a commitment from [provider name] to [business name], written into our contract dated [date]]. It defines the service, the standard and the hours.</w:t>
      </w:r>
    </w:p>
    <w:tbl>
      <w:tblPr>
        <w:tblW w:w="9411" w:type="dxa"/>
        <w:jc w:val="left"/>
        <w:tblBorders>
          <w:top w:val="single" w:sz="4" w:space="0" w:color="C8C8C8"/>
          <w:left w:val="single" w:sz="4" w:space="0" w:color="C8C8C8"/>
          <w:bottom w:val="single" w:sz="4" w:space="0" w:color="C8C8C8"/>
          <w:right w:val="single" w:sz="4" w:space="0" w:color="C8C8C8"/>
          <w:insideH w:val="single" w:sz="4" w:space="0" w:color="C8C8C8"/>
          <w:insideV w:val="single" w:sz="4" w:space="0" w:color="C8C8C8"/>
        </w:tblBorders>
        <w:tblLayout w:type="fixed"/>
        <w:tblCellMar>
          <w:top w:w="85" w:type="dxa"/>
          <w:left w:w="140" w:type="dxa"/>
          <w:bottom w:w="85" w:type="dxa"/>
          <w:right w:w="140" w:type="dxa"/>
        </w:tblCellMar>
        <w:tblLook w:firstColumn="1" w:firstRow="1" w:lastColumn="0" w:lastRow="0" w:noHBand="0" w:noVBand="1" w:val="04A0"/>
      </w:tblPr>
      <w:tblGrid>
        <w:gridCol w:w="2381"/>
        <w:gridCol w:w="7030"/>
      </w:tblGrid>
      <w:tr>
        <w:trPr>
          <w:cantSplit/>
        </w:trPr>
        <w:tc>
          <w:tcPr>
            <w:tcW w:w="2381" w:type="dxa"/>
            <w:shd w:val="clear" w:color="auto" w:fill="FCE7F3"/>
          </w:tcPr>
          <w:p>
            <w:pPr>
              <w:spacing w:after="0" w:line="264" w:lineRule="auto"/>
            </w:pPr>
            <w:r>
              <w:rPr>
                <w:b/>
                <w:sz w:val="20"/>
              </w:rPr>
              <w:t>Service covered</w:t>
            </w:r>
          </w:p>
        </w:tc>
        <w:tc>
          <w:tcPr>
            <w:tcW w:w="7030" w:type="dxa"/>
          </w:tcPr>
          <w:p>
            <w:pPr>
              <w:spacing w:after="0" w:line="264" w:lineRule="auto"/>
            </w:pPr>
            <w:r>
              <w:rPr>
                <w:sz w:val="20"/>
              </w:rPr>
              <w:t>[the service this SLA covers]</w:t>
            </w:r>
          </w:p>
        </w:tc>
      </w:tr>
      <w:tr>
        <w:trPr>
          <w:cantSplit/>
        </w:trPr>
        <w:tc>
          <w:tcPr>
            <w:tcW w:w="2381" w:type="dxa"/>
            <w:shd w:val="clear" w:color="auto" w:fill="FCE7F3"/>
          </w:tcPr>
          <w:p>
            <w:pPr>
              <w:spacing w:after="0" w:line="264" w:lineRule="auto"/>
            </w:pPr>
            <w:r>
              <w:rPr>
                <w:b/>
                <w:sz w:val="20"/>
              </w:rPr>
              <w:t>Type</w:t>
            </w:r>
          </w:p>
        </w:tc>
        <w:tc>
          <w:tcPr>
            <w:tcW w:w="7030" w:type="dxa"/>
          </w:tcPr>
          <w:p>
            <w:pPr>
              <w:spacing w:after="0" w:line="264" w:lineRule="auto"/>
            </w:pPr>
            <w:r>
              <w:rPr>
                <w:sz w:val="20"/>
              </w:rPr>
              <w:t>[Service-based: one service, all customers / Customer-based: one customer, all services / Multi-level: a general standard plus extra tiers]</w:t>
            </w:r>
          </w:p>
        </w:tc>
      </w:tr>
      <w:tr>
        <w:trPr>
          <w:cantSplit/>
        </w:trPr>
        <w:tc>
          <w:tcPr>
            <w:tcW w:w="2381" w:type="dxa"/>
            <w:shd w:val="clear" w:color="auto" w:fill="FCE7F3"/>
          </w:tcPr>
          <w:p>
            <w:pPr>
              <w:spacing w:after="0" w:line="264" w:lineRule="auto"/>
            </w:pPr>
            <w:r>
              <w:rPr>
                <w:b/>
                <w:sz w:val="20"/>
              </w:rPr>
              <w:t>Start date</w:t>
            </w:r>
          </w:p>
        </w:tc>
        <w:tc>
          <w:tcPr>
            <w:tcW w:w="7030" w:type="dxa"/>
          </w:tcPr>
          <w:p>
            <w:pPr>
              <w:spacing w:after="0" w:line="264" w:lineRule="auto"/>
            </w:pPr>
            <w:r>
              <w:rPr>
                <w:sz w:val="20"/>
              </w:rPr>
              <w:t>[date]</w:t>
            </w:r>
          </w:p>
        </w:tc>
      </w:tr>
      <w:tr>
        <w:trPr>
          <w:cantSplit/>
        </w:trPr>
        <w:tc>
          <w:tcPr>
            <w:tcW w:w="2381" w:type="dxa"/>
            <w:shd w:val="clear" w:color="auto" w:fill="FCE7F3"/>
          </w:tcPr>
          <w:p>
            <w:pPr>
              <w:spacing w:after="0" w:line="264" w:lineRule="auto"/>
            </w:pPr>
            <w:r>
              <w:rPr>
                <w:b/>
                <w:sz w:val="20"/>
              </w:rPr>
              <w:t>Owner</w:t>
            </w:r>
          </w:p>
        </w:tc>
        <w:tc>
          <w:tcPr>
            <w:tcW w:w="7030" w:type="dxa"/>
          </w:tcPr>
          <w:p>
            <w:pPr>
              <w:spacing w:after="0" w:line="264" w:lineRule="auto"/>
            </w:pPr>
            <w:r>
              <w:rPr>
                <w:sz w:val="20"/>
              </w:rPr>
              <w:t>[name, job title]</w:t>
            </w:r>
          </w:p>
        </w:tc>
      </w:tr>
    </w:tbl>
    <w:p>
      <w:pPr>
        <w:spacing w:after="160" w:before="80"/>
      </w:pPr>
      <w:r>
        <w:rPr>
          <w:i/>
          <w:color w:val="5A5A5A"/>
          <w:sz w:val="20"/>
        </w:rPr>
        <w:t>A small business usually needs only one service-based SLA.</w:t>
      </w:r>
    </w:p>
    <w:p>
      <w:pPr>
        <w:pStyle w:val="Heading1"/>
      </w:pPr>
      <w:r>
        <w:t>2. Definitions</w:t>
      </w:r>
    </w:p>
    <w:tbl>
      <w:tblPr>
        <w:tblW w:w="9411" w:type="dxa"/>
        <w:jc w:val="left"/>
        <w:tblBorders>
          <w:top w:val="single" w:sz="4" w:space="0" w:color="C8C8C8"/>
          <w:left w:val="single" w:sz="4" w:space="0" w:color="C8C8C8"/>
          <w:bottom w:val="single" w:sz="4" w:space="0" w:color="C8C8C8"/>
          <w:right w:val="single" w:sz="4" w:space="0" w:color="C8C8C8"/>
          <w:insideH w:val="single" w:sz="4" w:space="0" w:color="C8C8C8"/>
          <w:insideV w:val="single" w:sz="4" w:space="0" w:color="C8C8C8"/>
        </w:tblBorders>
        <w:tblLayout w:type="fixed"/>
        <w:tblCellMar>
          <w:top w:w="85" w:type="dxa"/>
          <w:left w:w="140" w:type="dxa"/>
          <w:bottom w:w="85" w:type="dxa"/>
          <w:right w:w="140" w:type="dxa"/>
        </w:tblCellMar>
        <w:tblLook w:firstColumn="1" w:firstRow="1" w:lastColumn="0" w:lastRow="0" w:noHBand="0" w:noVBand="1" w:val="04A0"/>
      </w:tblPr>
      <w:tblGrid>
        <w:gridCol w:w="2381"/>
        <w:gridCol w:w="7030"/>
      </w:tblGrid>
      <w:tr>
        <w:trPr>
          <w:cantSplit/>
        </w:trPr>
        <w:tc>
          <w:tcPr>
            <w:tcW w:w="2381" w:type="dxa"/>
            <w:shd w:val="clear" w:color="auto" w:fill="FCE7F3"/>
          </w:tcPr>
          <w:p>
            <w:pPr>
              <w:spacing w:after="0" w:line="264" w:lineRule="auto"/>
            </w:pPr>
            <w:r>
              <w:rPr>
                <w:b/>
                <w:sz w:val="20"/>
              </w:rPr>
              <w:t>Business day</w:t>
            </w:r>
          </w:p>
        </w:tc>
        <w:tc>
          <w:tcPr>
            <w:tcW w:w="7030" w:type="dxa"/>
          </w:tcPr>
          <w:p>
            <w:pPr>
              <w:spacing w:after="0" w:line="264" w:lineRule="auto"/>
            </w:pPr>
            <w:r>
              <w:rPr>
                <w:sz w:val="20"/>
              </w:rPr>
              <w:t>[the days the clock runs, for example Monday to Friday, and how bank holidays are handled]</w:t>
            </w:r>
          </w:p>
        </w:tc>
      </w:tr>
      <w:tr>
        <w:trPr>
          <w:cantSplit/>
        </w:trPr>
        <w:tc>
          <w:tcPr>
            <w:tcW w:w="2381" w:type="dxa"/>
            <w:shd w:val="clear" w:color="auto" w:fill="FCE7F3"/>
          </w:tcPr>
          <w:p>
            <w:pPr>
              <w:spacing w:after="0" w:line="264" w:lineRule="auto"/>
            </w:pPr>
            <w:r>
              <w:rPr>
                <w:b/>
                <w:sz w:val="20"/>
              </w:rPr>
              <w:t>Business hours</w:t>
            </w:r>
          </w:p>
        </w:tc>
        <w:tc>
          <w:tcPr>
            <w:tcW w:w="7030" w:type="dxa"/>
          </w:tcPr>
          <w:p>
            <w:pPr>
              <w:spacing w:after="0" w:line="264" w:lineRule="auto"/>
            </w:pPr>
            <w:r>
              <w:rPr>
                <w:sz w:val="20"/>
              </w:rPr>
              <w:t>[for example 9am to 5pm UK time on a business day]</w:t>
            </w:r>
          </w:p>
        </w:tc>
      </w:tr>
      <w:tr>
        <w:trPr>
          <w:cantSplit/>
        </w:trPr>
        <w:tc>
          <w:tcPr>
            <w:tcW w:w="2381" w:type="dxa"/>
            <w:shd w:val="clear" w:color="auto" w:fill="FCE7F3"/>
          </w:tcPr>
          <w:p>
            <w:pPr>
              <w:spacing w:after="0" w:line="264" w:lineRule="auto"/>
            </w:pPr>
            <w:r>
              <w:rPr>
                <w:b/>
                <w:sz w:val="20"/>
              </w:rPr>
              <w:t>First response time</w:t>
            </w:r>
          </w:p>
        </w:tc>
        <w:tc>
          <w:tcPr>
            <w:tcW w:w="7030" w:type="dxa"/>
          </w:tcPr>
          <w:p>
            <w:pPr>
              <w:spacing w:after="0" w:line="264" w:lineRule="auto"/>
            </w:pPr>
            <w:r>
              <w:rPr>
                <w:sz w:val="20"/>
              </w:rPr>
              <w:t>The time from a customer's message to the first reply from a person; an automatic acknowledgement does not count.</w:t>
            </w:r>
          </w:p>
        </w:tc>
      </w:tr>
      <w:tr>
        <w:trPr>
          <w:cantSplit/>
        </w:trPr>
        <w:tc>
          <w:tcPr>
            <w:tcW w:w="2381" w:type="dxa"/>
            <w:shd w:val="clear" w:color="auto" w:fill="FCE7F3"/>
          </w:tcPr>
          <w:p>
            <w:pPr>
              <w:spacing w:after="0" w:line="264" w:lineRule="auto"/>
            </w:pPr>
            <w:r>
              <w:rPr>
                <w:b/>
                <w:sz w:val="20"/>
              </w:rPr>
              <w:t>Resolved</w:t>
            </w:r>
          </w:p>
        </w:tc>
        <w:tc>
          <w:tcPr>
            <w:tcW w:w="7030" w:type="dxa"/>
          </w:tcPr>
          <w:p>
            <w:pPr>
              <w:spacing w:after="0" w:line="264" w:lineRule="auto"/>
            </w:pPr>
            <w:r>
              <w:rPr>
                <w:sz w:val="20"/>
              </w:rPr>
              <w:t>The issue is solved and the customer has not had to come back.</w:t>
            </w:r>
          </w:p>
        </w:tc>
      </w:tr>
      <w:tr>
        <w:trPr>
          <w:cantSplit/>
        </w:trPr>
        <w:tc>
          <w:tcPr>
            <w:tcW w:w="2381" w:type="dxa"/>
            <w:shd w:val="clear" w:color="auto" w:fill="FCE7F3"/>
          </w:tcPr>
          <w:p>
            <w:pPr>
              <w:spacing w:after="0" w:line="264" w:lineRule="auto"/>
            </w:pPr>
            <w:r>
              <w:rPr>
                <w:b/>
                <w:sz w:val="20"/>
              </w:rPr>
              <w:t>Resolution time</w:t>
            </w:r>
          </w:p>
        </w:tc>
        <w:tc>
          <w:tcPr>
            <w:tcW w:w="7030" w:type="dxa"/>
          </w:tcPr>
          <w:p>
            <w:pPr>
              <w:spacing w:after="0" w:line="264" w:lineRule="auto"/>
            </w:pPr>
            <w:r>
              <w:rPr>
                <w:sz w:val="20"/>
              </w:rPr>
              <w:t>The time from the customer's message until the issue is resolved.</w:t>
            </w:r>
          </w:p>
        </w:tc>
      </w:tr>
    </w:tbl>
    <w:p>
      <w:pPr>
        <w:spacing w:after="160" w:before="80"/>
      </w:pPr>
      <w:r>
        <w:rPr>
          <w:i/>
          <w:color w:val="5A5A5A"/>
          <w:sz w:val="20"/>
        </w:rPr>
        <w:t>Both times are measured in business hours if this SLA promises business hours.</w:t>
      </w:r>
    </w:p>
    <w:p>
      <w:pPr>
        <w:pStyle w:val="Heading1"/>
      </w:pPr>
      <w:r>
        <w:t>3. Channels covered</w:t>
      </w:r>
    </w:p>
    <w:p>
      <w:r>
        <w:t>This SLA covers: [email] · [phone] · [live chat] · [web form] · [social messages]. Targets can differ by channel (section 6).</w:t>
      </w:r>
    </w:p>
    <w:p>
      <w:pPr>
        <w:pStyle w:val="Heading1"/>
      </w:pPr>
      <w:r>
        <w:t>4. Hours of cover</w:t>
      </w:r>
    </w:p>
    <w:tbl>
      <w:tblPr>
        <w:tblW w:w="9411" w:type="dxa"/>
        <w:jc w:val="left"/>
        <w:tblBorders>
          <w:top w:val="single" w:sz="4" w:space="0" w:color="C8C8C8"/>
          <w:left w:val="single" w:sz="4" w:space="0" w:color="C8C8C8"/>
          <w:bottom w:val="single" w:sz="4" w:space="0" w:color="C8C8C8"/>
          <w:right w:val="single" w:sz="4" w:space="0" w:color="C8C8C8"/>
          <w:insideH w:val="single" w:sz="4" w:space="0" w:color="C8C8C8"/>
          <w:insideV w:val="single" w:sz="4" w:space="0" w:color="C8C8C8"/>
        </w:tblBorders>
        <w:tblLayout w:type="fixed"/>
        <w:tblCellMar>
          <w:top w:w="85" w:type="dxa"/>
          <w:left w:w="140" w:type="dxa"/>
          <w:bottom w:w="85" w:type="dxa"/>
          <w:right w:w="140" w:type="dxa"/>
        </w:tblCellMar>
        <w:tblLook w:firstColumn="1" w:firstRow="1" w:lastColumn="0" w:lastRow="0" w:noHBand="0" w:noVBand="1" w:val="04A0"/>
      </w:tblPr>
      <w:tblGrid>
        <w:gridCol w:w="2381"/>
        <w:gridCol w:w="7030"/>
      </w:tblGrid>
      <w:tr>
        <w:trPr>
          <w:cantSplit/>
        </w:trPr>
        <w:tc>
          <w:tcPr>
            <w:tcW w:w="2381" w:type="dxa"/>
            <w:shd w:val="clear" w:color="auto" w:fill="FCE7F3"/>
          </w:tcPr>
          <w:p>
            <w:pPr>
              <w:spacing w:after="0" w:line="264" w:lineRule="auto"/>
            </w:pPr>
            <w:r>
              <w:rPr>
                <w:b/>
                <w:sz w:val="20"/>
              </w:rPr>
              <w:t>Days and times</w:t>
            </w:r>
          </w:p>
        </w:tc>
        <w:tc>
          <w:tcPr>
            <w:tcW w:w="7030" w:type="dxa"/>
          </w:tcPr>
          <w:p>
            <w:pPr>
              <w:spacing w:after="0" w:line="264" w:lineRule="auto"/>
            </w:pPr>
            <w:r>
              <w:rPr>
                <w:sz w:val="20"/>
              </w:rPr>
              <w:t>[9am to 5pm, Monday to Friday], UK time</w:t>
            </w:r>
          </w:p>
        </w:tc>
      </w:tr>
      <w:tr>
        <w:trPr>
          <w:cantSplit/>
        </w:trPr>
        <w:tc>
          <w:tcPr>
            <w:tcW w:w="2381" w:type="dxa"/>
            <w:shd w:val="clear" w:color="auto" w:fill="FCE7F3"/>
          </w:tcPr>
          <w:p>
            <w:pPr>
              <w:spacing w:after="0" w:line="264" w:lineRule="auto"/>
            </w:pPr>
            <w:r>
              <w:rPr>
                <w:b/>
                <w:sz w:val="20"/>
              </w:rPr>
              <w:t>Bank holidays</w:t>
            </w:r>
          </w:p>
        </w:tc>
        <w:tc>
          <w:tcPr>
            <w:tcW w:w="7030" w:type="dxa"/>
          </w:tcPr>
          <w:p>
            <w:pPr>
              <w:spacing w:after="0" w:line="264" w:lineRule="auto"/>
            </w:pPr>
            <w:r>
              <w:rPr>
                <w:sz w:val="20"/>
              </w:rPr>
              <w:t>[how bank holidays are handled]</w:t>
            </w:r>
          </w:p>
        </w:tc>
      </w:tr>
      <w:tr>
        <w:trPr>
          <w:cantSplit/>
        </w:trPr>
        <w:tc>
          <w:tcPr>
            <w:tcW w:w="2381" w:type="dxa"/>
            <w:shd w:val="clear" w:color="auto" w:fill="FCE7F3"/>
          </w:tcPr>
          <w:p>
            <w:pPr>
              <w:spacing w:after="0" w:line="264" w:lineRule="auto"/>
            </w:pPr>
            <w:r>
              <w:rPr>
                <w:b/>
                <w:sz w:val="20"/>
              </w:rPr>
              <w:t>When the clock stops</w:t>
            </w:r>
          </w:p>
        </w:tc>
        <w:tc>
          <w:tcPr>
            <w:tcW w:w="7030" w:type="dxa"/>
          </w:tcPr>
          <w:p>
            <w:pPr>
              <w:spacing w:after="0" w:line="264" w:lineRule="auto"/>
            </w:pPr>
            <w:r>
              <w:rPr>
                <w:sz w:val="20"/>
              </w:rPr>
              <w:t>The clock stops at [5pm] and starts at [9am] the next working day, so a message sent on [Friday evening] is due on [Monday].</w:t>
            </w:r>
          </w:p>
        </w:tc>
      </w:tr>
      <w:tr>
        <w:trPr>
          <w:cantSplit/>
        </w:trPr>
        <w:tc>
          <w:tcPr>
            <w:tcW w:w="2381" w:type="dxa"/>
            <w:shd w:val="clear" w:color="auto" w:fill="FCE7F3"/>
          </w:tcPr>
          <w:p>
            <w:pPr>
              <w:spacing w:after="0" w:line="264" w:lineRule="auto"/>
            </w:pPr>
            <w:r>
              <w:rPr>
                <w:b/>
                <w:sz w:val="20"/>
              </w:rPr>
              <w:t>Wording for customers</w:t>
            </w:r>
          </w:p>
        </w:tc>
        <w:tc>
          <w:tcPr>
            <w:tcW w:w="7030" w:type="dxa"/>
          </w:tcPr>
          <w:p>
            <w:pPr>
              <w:spacing w:after="0" w:line="264" w:lineRule="auto"/>
            </w:pPr>
            <w:r>
              <w:rPr>
                <w:sz w:val="20"/>
              </w:rPr>
              <w:t>"We reply to emails within [one working day], [Monday to Friday]."</w:t>
            </w:r>
          </w:p>
        </w:tc>
      </w:tr>
    </w:tbl>
    <w:p>
      <w:pPr>
        <w:pStyle w:val="Heading1"/>
      </w:pPr>
      <w:r>
        <w:t>5. Priority levels</w:t>
      </w:r>
    </w:p>
    <w:tbl>
      <w:tblPr>
        <w:tblW w:w="9411" w:type="dxa"/>
        <w:jc w:val="left"/>
        <w:tblBorders>
          <w:top w:val="single" w:sz="4" w:space="0" w:color="C8C8C8"/>
          <w:left w:val="single" w:sz="4" w:space="0" w:color="C8C8C8"/>
          <w:bottom w:val="single" w:sz="4" w:space="0" w:color="C8C8C8"/>
          <w:right w:val="single" w:sz="4" w:space="0" w:color="C8C8C8"/>
          <w:insideH w:val="single" w:sz="4" w:space="0" w:color="C8C8C8"/>
          <w:insideV w:val="single" w:sz="4" w:space="0" w:color="C8C8C8"/>
        </w:tblBorders>
        <w:tblLayout w:type="fixed"/>
        <w:tblCellMar>
          <w:top w:w="85" w:type="dxa"/>
          <w:left w:w="140" w:type="dxa"/>
          <w:bottom w:w="85" w:type="dxa"/>
          <w:right w:w="140" w:type="dxa"/>
        </w:tblCellMar>
        <w:tblLook w:firstColumn="1" w:firstRow="1" w:lastColumn="0" w:lastRow="0" w:noHBand="0" w:noVBand="1" w:val="04A0"/>
      </w:tblPr>
      <w:tblGrid>
        <w:gridCol w:w="2381"/>
        <w:gridCol w:w="7030"/>
      </w:tblGrid>
      <w:tr>
        <w:trPr>
          <w:cantSplit/>
          <w:tblHeader/>
        </w:trPr>
        <w:tc>
          <w:tcPr>
            <w:tcW w:w="2381" w:type="dxa"/>
            <w:shd w:val="clear" w:color="auto" w:fill="FCE7F3"/>
          </w:tcPr>
          <w:p>
            <w:pPr>
              <w:spacing w:after="0" w:line="264" w:lineRule="auto"/>
            </w:pPr>
            <w:r>
              <w:rPr>
                <w:b/>
                <w:sz w:val="20"/>
              </w:rPr>
              <w:t>Priority</w:t>
            </w:r>
          </w:p>
        </w:tc>
        <w:tc>
          <w:tcPr>
            <w:tcW w:w="7030" w:type="dxa"/>
            <w:shd w:val="clear" w:color="auto" w:fill="FCE7F3"/>
          </w:tcPr>
          <w:p>
            <w:pPr>
              <w:spacing w:after="0" w:line="264" w:lineRule="auto"/>
            </w:pPr>
            <w:r>
              <w:rPr>
                <w:b/>
                <w:sz w:val="20"/>
              </w:rPr>
              <w:t>Plain definition</w:t>
            </w:r>
          </w:p>
        </w:tc>
      </w:tr>
      <w:tr>
        <w:trPr>
          <w:cantSplit/>
        </w:trPr>
        <w:tc>
          <w:tcPr>
            <w:tcW w:w="2381" w:type="dxa"/>
          </w:tcPr>
          <w:p>
            <w:pPr>
              <w:spacing w:after="0" w:line="264" w:lineRule="auto"/>
            </w:pPr>
            <w:r>
              <w:rPr>
                <w:b/>
                <w:sz w:val="20"/>
              </w:rPr>
              <w:t>Urgent</w:t>
            </w:r>
          </w:p>
        </w:tc>
        <w:tc>
          <w:tcPr>
            <w:tcW w:w="7030" w:type="dxa"/>
          </w:tcPr>
          <w:p>
            <w:pPr>
              <w:spacing w:after="0" w:line="264" w:lineRule="auto"/>
            </w:pPr>
            <w:r>
              <w:rPr>
                <w:sz w:val="20"/>
              </w:rPr>
              <w:t>[for example: order failed, wrong item, payment problem]</w:t>
            </w:r>
          </w:p>
        </w:tc>
      </w:tr>
      <w:tr>
        <w:trPr>
          <w:cantSplit/>
        </w:trPr>
        <w:tc>
          <w:tcPr>
            <w:tcW w:w="2381" w:type="dxa"/>
          </w:tcPr>
          <w:p>
            <w:pPr>
              <w:spacing w:after="0" w:line="264" w:lineRule="auto"/>
            </w:pPr>
            <w:r>
              <w:rPr>
                <w:b/>
                <w:sz w:val="20"/>
              </w:rPr>
              <w:t>Normal</w:t>
            </w:r>
          </w:p>
        </w:tc>
        <w:tc>
          <w:tcPr>
            <w:tcW w:w="7030" w:type="dxa"/>
          </w:tcPr>
          <w:p>
            <w:pPr>
              <w:spacing w:after="0" w:line="264" w:lineRule="auto"/>
            </w:pPr>
            <w:r>
              <w:rPr>
                <w:sz w:val="20"/>
              </w:rPr>
              <w:t>[plain definition]</w:t>
            </w:r>
          </w:p>
        </w:tc>
      </w:tr>
      <w:tr>
        <w:trPr>
          <w:cantSplit/>
        </w:trPr>
        <w:tc>
          <w:tcPr>
            <w:tcW w:w="2381" w:type="dxa"/>
          </w:tcPr>
          <w:p>
            <w:pPr>
              <w:spacing w:after="0" w:line="264" w:lineRule="auto"/>
            </w:pPr>
            <w:r>
              <w:rPr>
                <w:b/>
                <w:sz w:val="20"/>
              </w:rPr>
              <w:t>Low</w:t>
            </w:r>
          </w:p>
        </w:tc>
        <w:tc>
          <w:tcPr>
            <w:tcW w:w="7030" w:type="dxa"/>
          </w:tcPr>
          <w:p>
            <w:pPr>
              <w:spacing w:after="0" w:line="264" w:lineRule="auto"/>
            </w:pPr>
            <w:r>
              <w:rPr>
                <w:sz w:val="20"/>
              </w:rPr>
              <w:t>[plain definition]</w:t>
            </w:r>
          </w:p>
        </w:tc>
      </w:tr>
    </w:tbl>
    <w:p>
      <w:pPr>
        <w:spacing w:before="0" w:after="0" w:line="120" w:lineRule="exact"/>
      </w:pPr>
      <w:r>
        <w:rPr>
          <w:sz w:val="4"/>
        </w:rPr>
      </w:r>
    </w:p>
    <w:p>
      <w:pPr>
        <w:pStyle w:val="Heading1"/>
      </w:pPr>
      <w:r>
        <w:t>6. Targets</w:t>
      </w:r>
    </w:p>
    <w:tbl>
      <w:tblPr>
        <w:tblW w:w="9411" w:type="dxa"/>
        <w:jc w:val="left"/>
        <w:tblBorders>
          <w:top w:val="single" w:sz="4" w:space="0" w:color="C8C8C8"/>
          <w:left w:val="single" w:sz="4" w:space="0" w:color="C8C8C8"/>
          <w:bottom w:val="single" w:sz="4" w:space="0" w:color="C8C8C8"/>
          <w:right w:val="single" w:sz="4" w:space="0" w:color="C8C8C8"/>
          <w:insideH w:val="single" w:sz="4" w:space="0" w:color="C8C8C8"/>
          <w:insideV w:val="single" w:sz="4" w:space="0" w:color="C8C8C8"/>
        </w:tblBorders>
        <w:tblLayout w:type="fixed"/>
        <w:tblCellMar>
          <w:top w:w="85" w:type="dxa"/>
          <w:left w:w="140" w:type="dxa"/>
          <w:bottom w:w="85" w:type="dxa"/>
          <w:right w:w="140" w:type="dxa"/>
        </w:tblCellMar>
        <w:tblLook w:firstColumn="1" w:firstRow="1" w:lastColumn="0" w:lastRow="0" w:noHBand="0" w:noVBand="1" w:val="04A0"/>
      </w:tblPr>
      <w:tblGrid>
        <w:gridCol w:w="1871"/>
        <w:gridCol w:w="2098"/>
        <w:gridCol w:w="2608"/>
        <w:gridCol w:w="2835"/>
      </w:tblGrid>
      <w:tr>
        <w:trPr>
          <w:cantSplit/>
          <w:tblHeader/>
        </w:trPr>
        <w:tc>
          <w:tcPr>
            <w:tcW w:w="1871" w:type="dxa"/>
            <w:shd w:val="clear" w:color="auto" w:fill="FCE7F3"/>
          </w:tcPr>
          <w:p>
            <w:pPr>
              <w:spacing w:after="0" w:line="264" w:lineRule="auto"/>
            </w:pPr>
            <w:r>
              <w:rPr>
                <w:b/>
                <w:sz w:val="20"/>
              </w:rPr>
              <w:t>Channel</w:t>
            </w:r>
          </w:p>
        </w:tc>
        <w:tc>
          <w:tcPr>
            <w:tcW w:w="2098" w:type="dxa"/>
            <w:shd w:val="clear" w:color="auto" w:fill="FCE7F3"/>
          </w:tcPr>
          <w:p>
            <w:pPr>
              <w:spacing w:after="0" w:line="264" w:lineRule="auto"/>
            </w:pPr>
            <w:r>
              <w:rPr>
                <w:b/>
                <w:sz w:val="20"/>
              </w:rPr>
              <w:t>Priority</w:t>
            </w:r>
          </w:p>
        </w:tc>
        <w:tc>
          <w:tcPr>
            <w:tcW w:w="2608" w:type="dxa"/>
            <w:shd w:val="clear" w:color="auto" w:fill="FCE7F3"/>
          </w:tcPr>
          <w:p>
            <w:pPr>
              <w:spacing w:after="0" w:line="264" w:lineRule="auto"/>
            </w:pPr>
            <w:r>
              <w:rPr>
                <w:b/>
                <w:sz w:val="20"/>
              </w:rPr>
              <w:t>First response (example)</w:t>
            </w:r>
          </w:p>
        </w:tc>
        <w:tc>
          <w:tcPr>
            <w:tcW w:w="2835" w:type="dxa"/>
            <w:shd w:val="clear" w:color="auto" w:fill="FCE7F3"/>
          </w:tcPr>
          <w:p>
            <w:pPr>
              <w:spacing w:after="0" w:line="264" w:lineRule="auto"/>
            </w:pPr>
            <w:r>
              <w:rPr>
                <w:b/>
                <w:sz w:val="20"/>
              </w:rPr>
              <w:t>Resolution (example)</w:t>
            </w:r>
          </w:p>
        </w:tc>
      </w:tr>
      <w:tr>
        <w:trPr>
          <w:cantSplit/>
        </w:trPr>
        <w:tc>
          <w:tcPr>
            <w:tcW w:w="1871" w:type="dxa"/>
          </w:tcPr>
          <w:p>
            <w:pPr>
              <w:spacing w:after="0" w:line="264" w:lineRule="auto"/>
            </w:pPr>
            <w:r>
              <w:rPr>
                <w:b/>
                <w:sz w:val="20"/>
              </w:rPr>
              <w:t>Phone</w:t>
            </w:r>
          </w:p>
        </w:tc>
        <w:tc>
          <w:tcPr>
            <w:tcW w:w="2098" w:type="dxa"/>
          </w:tcPr>
          <w:p>
            <w:pPr>
              <w:spacing w:after="0" w:line="264" w:lineRule="auto"/>
            </w:pPr>
            <w:r>
              <w:rPr>
                <w:sz w:val="20"/>
              </w:rPr>
              <w:t>All</w:t>
            </w:r>
          </w:p>
        </w:tc>
        <w:tc>
          <w:tcPr>
            <w:tcW w:w="2608" w:type="dxa"/>
          </w:tcPr>
          <w:p>
            <w:pPr>
              <w:spacing w:after="0" w:line="264" w:lineRule="auto"/>
            </w:pPr>
            <w:r>
              <w:rPr>
                <w:sz w:val="20"/>
              </w:rPr>
              <w:t>[Answered while open, or a call-back the same business day]</w:t>
            </w:r>
          </w:p>
        </w:tc>
        <w:tc>
          <w:tcPr>
            <w:tcW w:w="2835" w:type="dxa"/>
          </w:tcPr>
          <w:p>
            <w:pPr>
              <w:spacing w:after="0" w:line="264" w:lineRule="auto"/>
            </w:pPr>
            <w:r>
              <w:rPr>
                <w:sz w:val="20"/>
              </w:rPr>
              <w:t>[Most on the call; the rest within 2 business days]</w:t>
            </w:r>
          </w:p>
        </w:tc>
      </w:tr>
      <w:tr>
        <w:trPr>
          <w:cantSplit/>
        </w:trPr>
        <w:tc>
          <w:tcPr>
            <w:tcW w:w="1871" w:type="dxa"/>
          </w:tcPr>
          <w:p>
            <w:pPr>
              <w:spacing w:after="0" w:line="264" w:lineRule="auto"/>
            </w:pPr>
            <w:r>
              <w:rPr>
                <w:b/>
                <w:sz w:val="20"/>
              </w:rPr>
              <w:t>Live chat</w:t>
            </w:r>
          </w:p>
        </w:tc>
        <w:tc>
          <w:tcPr>
            <w:tcW w:w="2098" w:type="dxa"/>
          </w:tcPr>
          <w:p>
            <w:pPr>
              <w:spacing w:after="0" w:line="264" w:lineRule="auto"/>
            </w:pPr>
            <w:r>
              <w:rPr>
                <w:sz w:val="20"/>
              </w:rPr>
              <w:t>All</w:t>
            </w:r>
          </w:p>
        </w:tc>
        <w:tc>
          <w:tcPr>
            <w:tcW w:w="2608" w:type="dxa"/>
          </w:tcPr>
          <w:p>
            <w:pPr>
              <w:spacing w:after="0" w:line="264" w:lineRule="auto"/>
            </w:pPr>
            <w:r>
              <w:rPr>
                <w:sz w:val="20"/>
              </w:rPr>
              <w:t>[Within 2 minutes while chat is shown as online]</w:t>
            </w:r>
          </w:p>
        </w:tc>
        <w:tc>
          <w:tcPr>
            <w:tcW w:w="2835" w:type="dxa"/>
          </w:tcPr>
          <w:p>
            <w:pPr>
              <w:spacing w:after="0" w:line="264" w:lineRule="auto"/>
            </w:pPr>
            <w:r>
              <w:rPr>
                <w:sz w:val="20"/>
              </w:rPr>
              <w:t>[During the chat, or moved to email]</w:t>
            </w:r>
          </w:p>
        </w:tc>
      </w:tr>
      <w:tr>
        <w:trPr>
          <w:cantSplit/>
        </w:trPr>
        <w:tc>
          <w:tcPr>
            <w:tcW w:w="1871" w:type="dxa"/>
          </w:tcPr>
          <w:p>
            <w:pPr>
              <w:spacing w:after="0" w:line="264" w:lineRule="auto"/>
            </w:pPr>
            <w:r>
              <w:rPr>
                <w:b/>
                <w:sz w:val="20"/>
              </w:rPr>
              <w:t>Email and web form</w:t>
            </w:r>
          </w:p>
        </w:tc>
        <w:tc>
          <w:tcPr>
            <w:tcW w:w="2098" w:type="dxa"/>
          </w:tcPr>
          <w:p>
            <w:pPr>
              <w:spacing w:after="0" w:line="264" w:lineRule="auto"/>
            </w:pPr>
            <w:r>
              <w:rPr>
                <w:sz w:val="20"/>
              </w:rPr>
              <w:t>Urgent (order failed, wrong item, payment problem)</w:t>
            </w:r>
          </w:p>
        </w:tc>
        <w:tc>
          <w:tcPr>
            <w:tcW w:w="2608" w:type="dxa"/>
          </w:tcPr>
          <w:p>
            <w:pPr>
              <w:spacing w:after="0" w:line="264" w:lineRule="auto"/>
            </w:pPr>
            <w:r>
              <w:rPr>
                <w:sz w:val="20"/>
              </w:rPr>
              <w:t>[Within 2 business hours]</w:t>
            </w:r>
          </w:p>
        </w:tc>
        <w:tc>
          <w:tcPr>
            <w:tcW w:w="2835" w:type="dxa"/>
          </w:tcPr>
          <w:p>
            <w:pPr>
              <w:spacing w:after="0" w:line="264" w:lineRule="auto"/>
            </w:pPr>
            <w:r>
              <w:rPr>
                <w:sz w:val="20"/>
              </w:rPr>
              <w:t>[Within 1 business day]</w:t>
            </w:r>
          </w:p>
        </w:tc>
      </w:tr>
      <w:tr>
        <w:trPr>
          <w:cantSplit/>
        </w:trPr>
        <w:tc>
          <w:tcPr>
            <w:tcW w:w="1871" w:type="dxa"/>
          </w:tcPr>
          <w:p>
            <w:pPr>
              <w:spacing w:after="0" w:line="264" w:lineRule="auto"/>
            </w:pPr>
            <w:r>
              <w:rPr>
                <w:b/>
                <w:sz w:val="20"/>
              </w:rPr>
              <w:t>Email and web form</w:t>
            </w:r>
          </w:p>
        </w:tc>
        <w:tc>
          <w:tcPr>
            <w:tcW w:w="2098" w:type="dxa"/>
          </w:tcPr>
          <w:p>
            <w:pPr>
              <w:spacing w:after="0" w:line="264" w:lineRule="auto"/>
            </w:pPr>
            <w:r>
              <w:rPr>
                <w:sz w:val="20"/>
              </w:rPr>
              <w:t>Normal</w:t>
            </w:r>
          </w:p>
        </w:tc>
        <w:tc>
          <w:tcPr>
            <w:tcW w:w="2608" w:type="dxa"/>
          </w:tcPr>
          <w:p>
            <w:pPr>
              <w:spacing w:after="0" w:line="264" w:lineRule="auto"/>
            </w:pPr>
            <w:r>
              <w:rPr>
                <w:sz w:val="20"/>
              </w:rPr>
              <w:t>[Within 1 business day]</w:t>
            </w:r>
          </w:p>
        </w:tc>
        <w:tc>
          <w:tcPr>
            <w:tcW w:w="2835" w:type="dxa"/>
          </w:tcPr>
          <w:p>
            <w:pPr>
              <w:spacing w:after="0" w:line="264" w:lineRule="auto"/>
            </w:pPr>
            <w:r>
              <w:rPr>
                <w:sz w:val="20"/>
              </w:rPr>
              <w:t>[Within 3 business days]</w:t>
            </w:r>
          </w:p>
        </w:tc>
      </w:tr>
      <w:tr>
        <w:trPr>
          <w:cantSplit/>
        </w:trPr>
        <w:tc>
          <w:tcPr>
            <w:tcW w:w="1871" w:type="dxa"/>
          </w:tcPr>
          <w:p>
            <w:pPr>
              <w:spacing w:after="0" w:line="264" w:lineRule="auto"/>
            </w:pPr>
            <w:r>
              <w:rPr>
                <w:b/>
                <w:sz w:val="20"/>
              </w:rPr>
              <w:t>Social messages</w:t>
            </w:r>
          </w:p>
        </w:tc>
        <w:tc>
          <w:tcPr>
            <w:tcW w:w="2098" w:type="dxa"/>
          </w:tcPr>
          <w:p>
            <w:pPr>
              <w:spacing w:after="0" w:line="264" w:lineRule="auto"/>
            </w:pPr>
            <w:r>
              <w:rPr>
                <w:sz w:val="20"/>
              </w:rPr>
              <w:t>Normal</w:t>
            </w:r>
          </w:p>
        </w:tc>
        <w:tc>
          <w:tcPr>
            <w:tcW w:w="2608" w:type="dxa"/>
          </w:tcPr>
          <w:p>
            <w:pPr>
              <w:spacing w:after="0" w:line="264" w:lineRule="auto"/>
            </w:pPr>
            <w:r>
              <w:rPr>
                <w:sz w:val="20"/>
              </w:rPr>
              <w:t>[Within 1 business day]</w:t>
            </w:r>
          </w:p>
        </w:tc>
        <w:tc>
          <w:tcPr>
            <w:tcW w:w="2835" w:type="dxa"/>
          </w:tcPr>
          <w:p>
            <w:pPr>
              <w:spacing w:after="0" w:line="264" w:lineRule="auto"/>
            </w:pPr>
            <w:r>
              <w:rPr>
                <w:sz w:val="20"/>
              </w:rPr>
              <w:t>[Moved to email or phone if it needs personal details]</w:t>
            </w:r>
          </w:p>
        </w:tc>
      </w:tr>
    </w:tbl>
    <w:p>
      <w:pPr>
        <w:spacing w:after="160" w:before="80"/>
      </w:pPr>
      <w:r>
        <w:rPr>
          <w:i/>
          <w:color w:val="5A5A5A"/>
          <w:sz w:val="20"/>
        </w:rPr>
        <w:t>The figures are an example for a small business open 9am to 5pm Monday to Friday. They are not an industry standard; change them to match what you can reliably deliver. Keep internal targets a little tighter than the promise, so a bad day does not become a breach.</w:t>
      </w:r>
    </w:p>
    <w:p>
      <w:pPr>
        <w:pStyle w:val="Heading1"/>
      </w:pPr>
      <w:r>
        <w:t>7. Escalation</w:t>
      </w:r>
    </w:p>
    <w:tbl>
      <w:tblPr>
        <w:tblW w:w="9411" w:type="dxa"/>
        <w:jc w:val="left"/>
        <w:tblBorders>
          <w:top w:val="single" w:sz="4" w:space="0" w:color="C8C8C8"/>
          <w:left w:val="single" w:sz="4" w:space="0" w:color="C8C8C8"/>
          <w:bottom w:val="single" w:sz="4" w:space="0" w:color="C8C8C8"/>
          <w:right w:val="single" w:sz="4" w:space="0" w:color="C8C8C8"/>
          <w:insideH w:val="single" w:sz="4" w:space="0" w:color="C8C8C8"/>
          <w:insideV w:val="single" w:sz="4" w:space="0" w:color="C8C8C8"/>
        </w:tblBorders>
        <w:tblLayout w:type="fixed"/>
        <w:tblCellMar>
          <w:top w:w="85" w:type="dxa"/>
          <w:left w:w="140" w:type="dxa"/>
          <w:bottom w:w="85" w:type="dxa"/>
          <w:right w:w="140" w:type="dxa"/>
        </w:tblCellMar>
        <w:tblLook w:firstColumn="1" w:firstRow="1" w:lastColumn="0" w:lastRow="0" w:noHBand="0" w:noVBand="1" w:val="04A0"/>
      </w:tblPr>
      <w:tblGrid>
        <w:gridCol w:w="2381"/>
        <w:gridCol w:w="7030"/>
      </w:tblGrid>
      <w:tr>
        <w:trPr>
          <w:cantSplit/>
        </w:trPr>
        <w:tc>
          <w:tcPr>
            <w:tcW w:w="2381" w:type="dxa"/>
            <w:shd w:val="clear" w:color="auto" w:fill="FCE7F3"/>
          </w:tcPr>
          <w:p>
            <w:pPr>
              <w:spacing w:after="0" w:line="264" w:lineRule="auto"/>
            </w:pPr>
            <w:r>
              <w:rPr>
                <w:b/>
                <w:sz w:val="20"/>
              </w:rPr>
              <w:t>Who takes over</w:t>
            </w:r>
          </w:p>
        </w:tc>
        <w:tc>
          <w:tcPr>
            <w:tcW w:w="7030" w:type="dxa"/>
          </w:tcPr>
          <w:p>
            <w:pPr>
              <w:spacing w:after="0" w:line="264" w:lineRule="auto"/>
            </w:pPr>
            <w:r>
              <w:rPr>
                <w:sz w:val="20"/>
              </w:rPr>
              <w:t>[name or role] takes over when a target is at risk.</w:t>
            </w:r>
          </w:p>
        </w:tc>
      </w:tr>
      <w:tr>
        <w:trPr>
          <w:cantSplit/>
        </w:trPr>
        <w:tc>
          <w:tcPr>
            <w:tcW w:w="2381" w:type="dxa"/>
            <w:shd w:val="clear" w:color="auto" w:fill="FCE7F3"/>
          </w:tcPr>
          <w:p>
            <w:pPr>
              <w:spacing w:after="0" w:line="264" w:lineRule="auto"/>
            </w:pPr>
            <w:r>
              <w:rPr>
                <w:b/>
                <w:sz w:val="20"/>
              </w:rPr>
              <w:t>How they are told</w:t>
            </w:r>
          </w:p>
        </w:tc>
        <w:tc>
          <w:tcPr>
            <w:tcW w:w="7030" w:type="dxa"/>
          </w:tcPr>
          <w:p>
            <w:pPr>
              <w:spacing w:after="0" w:line="264" w:lineRule="auto"/>
            </w:pPr>
            <w:r>
              <w:rPr>
                <w:sz w:val="20"/>
              </w:rPr>
              <w:t>[how they are told]</w:t>
            </w:r>
          </w:p>
        </w:tc>
      </w:tr>
      <w:tr>
        <w:trPr>
          <w:cantSplit/>
        </w:trPr>
        <w:tc>
          <w:tcPr>
            <w:tcW w:w="2381" w:type="dxa"/>
            <w:shd w:val="clear" w:color="auto" w:fill="FCE7F3"/>
          </w:tcPr>
          <w:p>
            <w:pPr>
              <w:spacing w:after="0" w:line="264" w:lineRule="auto"/>
            </w:pPr>
            <w:r>
              <w:rPr>
                <w:b/>
                <w:sz w:val="20"/>
              </w:rPr>
              <w:t>Escalation route to us</w:t>
            </w:r>
          </w:p>
        </w:tc>
        <w:tc>
          <w:tcPr>
            <w:tcW w:w="7030" w:type="dxa"/>
          </w:tcPr>
          <w:p>
            <w:pPr>
              <w:spacing w:after="0" w:line="264" w:lineRule="auto"/>
            </w:pPr>
            <w:r>
              <w:rPr>
                <w:sz w:val="20"/>
              </w:rPr>
              <w:t>[for an outsourced team: name and contact details at your business]</w:t>
            </w:r>
          </w:p>
        </w:tc>
      </w:tr>
    </w:tbl>
    <w:p>
      <w:pPr>
        <w:pStyle w:val="Heading1"/>
      </w:pPr>
      <w:r>
        <w:t>8. Measurement and reporting</w:t>
      </w:r>
    </w:p>
    <w:tbl>
      <w:tblPr>
        <w:tblW w:w="9411" w:type="dxa"/>
        <w:jc w:val="left"/>
        <w:tblBorders>
          <w:top w:val="single" w:sz="4" w:space="0" w:color="C8C8C8"/>
          <w:left w:val="single" w:sz="4" w:space="0" w:color="C8C8C8"/>
          <w:bottom w:val="single" w:sz="4" w:space="0" w:color="C8C8C8"/>
          <w:right w:val="single" w:sz="4" w:space="0" w:color="C8C8C8"/>
          <w:insideH w:val="single" w:sz="4" w:space="0" w:color="C8C8C8"/>
          <w:insideV w:val="single" w:sz="4" w:space="0" w:color="C8C8C8"/>
        </w:tblBorders>
        <w:tblLayout w:type="fixed"/>
        <w:tblCellMar>
          <w:top w:w="85" w:type="dxa"/>
          <w:left w:w="140" w:type="dxa"/>
          <w:bottom w:w="85" w:type="dxa"/>
          <w:right w:w="140" w:type="dxa"/>
        </w:tblCellMar>
        <w:tblLook w:firstColumn="1" w:firstRow="1" w:lastColumn="0" w:lastRow="0" w:noHBand="0" w:noVBand="1" w:val="04A0"/>
      </w:tblPr>
      <w:tblGrid>
        <w:gridCol w:w="2381"/>
        <w:gridCol w:w="7030"/>
      </w:tblGrid>
      <w:tr>
        <w:trPr>
          <w:cantSplit/>
        </w:trPr>
        <w:tc>
          <w:tcPr>
            <w:tcW w:w="2381" w:type="dxa"/>
            <w:shd w:val="clear" w:color="auto" w:fill="FCE7F3"/>
          </w:tcPr>
          <w:p>
            <w:pPr>
              <w:spacing w:after="0" w:line="264" w:lineRule="auto"/>
            </w:pPr>
            <w:r>
              <w:rPr>
                <w:b/>
                <w:sz w:val="20"/>
              </w:rPr>
              <w:t>What is measured</w:t>
            </w:r>
          </w:p>
        </w:tc>
        <w:tc>
          <w:tcPr>
            <w:tcW w:w="7030" w:type="dxa"/>
          </w:tcPr>
          <w:p>
            <w:pPr>
              <w:spacing w:after="0" w:line="264" w:lineRule="auto"/>
            </w:pPr>
            <w:r>
              <w:rPr>
                <w:sz w:val="20"/>
              </w:rPr>
              <w:t>[first response time and resolution time, by channel and priority]</w:t>
            </w:r>
          </w:p>
        </w:tc>
      </w:tr>
      <w:tr>
        <w:trPr>
          <w:cantSplit/>
        </w:trPr>
        <w:tc>
          <w:tcPr>
            <w:tcW w:w="2381" w:type="dxa"/>
            <w:shd w:val="clear" w:color="auto" w:fill="FCE7F3"/>
          </w:tcPr>
          <w:p>
            <w:pPr>
              <w:spacing w:after="0" w:line="264" w:lineRule="auto"/>
            </w:pPr>
            <w:r>
              <w:rPr>
                <w:b/>
                <w:sz w:val="20"/>
              </w:rPr>
              <w:t>Period</w:t>
            </w:r>
          </w:p>
        </w:tc>
        <w:tc>
          <w:tcPr>
            <w:tcW w:w="7030" w:type="dxa"/>
          </w:tcPr>
          <w:p>
            <w:pPr>
              <w:spacing w:after="0" w:line="264" w:lineRule="auto"/>
            </w:pPr>
            <w:r>
              <w:rPr>
                <w:sz w:val="20"/>
              </w:rPr>
              <w:t>[a week / a month]</w:t>
            </w:r>
          </w:p>
        </w:tc>
      </w:tr>
      <w:tr>
        <w:trPr>
          <w:cantSplit/>
        </w:trPr>
        <w:tc>
          <w:tcPr>
            <w:tcW w:w="2381" w:type="dxa"/>
            <w:shd w:val="clear" w:color="auto" w:fill="FCE7F3"/>
          </w:tcPr>
          <w:p>
            <w:pPr>
              <w:spacing w:after="0" w:line="264" w:lineRule="auto"/>
            </w:pPr>
            <w:r>
              <w:rPr>
                <w:b/>
                <w:sz w:val="20"/>
              </w:rPr>
              <w:t>Reported as</w:t>
            </w:r>
          </w:p>
        </w:tc>
        <w:tc>
          <w:tcPr>
            <w:tcW w:w="7030" w:type="dxa"/>
          </w:tcPr>
          <w:p>
            <w:pPr>
              <w:spacing w:after="0" w:line="264" w:lineRule="auto"/>
            </w:pPr>
            <w:r>
              <w:rPr>
                <w:sz w:val="20"/>
              </w:rPr>
              <w:t>The share of conversations that met the target over the period, for example the share of emails answered within the promised time.</w:t>
            </w:r>
          </w:p>
        </w:tc>
      </w:tr>
      <w:tr>
        <w:trPr>
          <w:cantSplit/>
        </w:trPr>
        <w:tc>
          <w:tcPr>
            <w:tcW w:w="2381" w:type="dxa"/>
            <w:shd w:val="clear" w:color="auto" w:fill="FCE7F3"/>
          </w:tcPr>
          <w:p>
            <w:pPr>
              <w:spacing w:after="0" w:line="264" w:lineRule="auto"/>
            </w:pPr>
            <w:r>
              <w:rPr>
                <w:b/>
                <w:sz w:val="20"/>
              </w:rPr>
              <w:t>Who reports it</w:t>
            </w:r>
          </w:p>
        </w:tc>
        <w:tc>
          <w:tcPr>
            <w:tcW w:w="7030" w:type="dxa"/>
          </w:tcPr>
          <w:p>
            <w:pPr>
              <w:spacing w:after="0" w:line="264" w:lineRule="auto"/>
            </w:pPr>
            <w:r>
              <w:rPr>
                <w:sz w:val="20"/>
              </w:rPr>
              <w:t>[name or provider], [weekly], to [name]</w:t>
            </w:r>
          </w:p>
        </w:tc>
      </w:tr>
    </w:tbl>
    <w:p>
      <w:pPr>
        <w:pStyle w:val="Heading1"/>
      </w:pPr>
      <w:r>
        <w:t>9. Breaches</w:t>
      </w:r>
    </w:p>
    <w:tbl>
      <w:tblPr>
        <w:tblW w:w="9411" w:type="dxa"/>
        <w:jc w:val="left"/>
        <w:tblBorders>
          <w:top w:val="single" w:sz="4" w:space="0" w:color="C8C8C8"/>
          <w:left w:val="single" w:sz="4" w:space="0" w:color="C8C8C8"/>
          <w:bottom w:val="single" w:sz="4" w:space="0" w:color="C8C8C8"/>
          <w:right w:val="single" w:sz="4" w:space="0" w:color="C8C8C8"/>
          <w:insideH w:val="single" w:sz="4" w:space="0" w:color="C8C8C8"/>
          <w:insideV w:val="single" w:sz="4" w:space="0" w:color="C8C8C8"/>
        </w:tblBorders>
        <w:tblLayout w:type="fixed"/>
        <w:tblCellMar>
          <w:top w:w="85" w:type="dxa"/>
          <w:left w:w="140" w:type="dxa"/>
          <w:bottom w:w="85" w:type="dxa"/>
          <w:right w:w="140" w:type="dxa"/>
        </w:tblCellMar>
        <w:tblLook w:firstColumn="1" w:firstRow="1" w:lastColumn="0" w:lastRow="0" w:noHBand="0" w:noVBand="1" w:val="04A0"/>
      </w:tblPr>
      <w:tblGrid>
        <w:gridCol w:w="2381"/>
        <w:gridCol w:w="7030"/>
      </w:tblGrid>
      <w:tr>
        <w:trPr>
          <w:cantSplit/>
        </w:trPr>
        <w:tc>
          <w:tcPr>
            <w:tcW w:w="2381" w:type="dxa"/>
            <w:shd w:val="clear" w:color="auto" w:fill="FCE7F3"/>
          </w:tcPr>
          <w:p>
            <w:pPr>
              <w:spacing w:after="0" w:line="264" w:lineRule="auto"/>
            </w:pPr>
            <w:r>
              <w:rPr>
                <w:b/>
                <w:sz w:val="20"/>
              </w:rPr>
              <w:t>What counts as a breach</w:t>
            </w:r>
          </w:p>
        </w:tc>
        <w:tc>
          <w:tcPr>
            <w:tcW w:w="7030" w:type="dxa"/>
          </w:tcPr>
          <w:p>
            <w:pPr>
              <w:spacing w:after="0" w:line="264" w:lineRule="auto"/>
            </w:pPr>
            <w:r>
              <w:rPr>
                <w:sz w:val="20"/>
              </w:rPr>
              <w:t>[definition]</w:t>
            </w:r>
          </w:p>
        </w:tc>
      </w:tr>
      <w:tr>
        <w:trPr>
          <w:cantSplit/>
        </w:trPr>
        <w:tc>
          <w:tcPr>
            <w:tcW w:w="2381" w:type="dxa"/>
            <w:shd w:val="clear" w:color="auto" w:fill="FCE7F3"/>
          </w:tcPr>
          <w:p>
            <w:pPr>
              <w:spacing w:after="0" w:line="264" w:lineRule="auto"/>
            </w:pPr>
            <w:r>
              <w:rPr>
                <w:b/>
                <w:sz w:val="20"/>
              </w:rPr>
              <w:t>What happens next</w:t>
            </w:r>
          </w:p>
        </w:tc>
        <w:tc>
          <w:tcPr>
            <w:tcW w:w="7030" w:type="dxa"/>
          </w:tcPr>
          <w:p>
            <w:pPr>
              <w:spacing w:after="0" w:line="264" w:lineRule="auto"/>
            </w:pPr>
            <w:r>
              <w:rPr>
                <w:sz w:val="20"/>
              </w:rPr>
              <w:t>Each breach is raised in writing with the report, a fix and a date are agreed, and the fix is reviewed. [For a provider SLA: a service credit (a reduction in the fee) / a review meeting / a right to end the contract after repeated breaches.] [For a customer-facing promise: an apology and a fix.]</w:t>
            </w:r>
          </w:p>
        </w:tc>
      </w:tr>
    </w:tbl>
    <w:p>
      <w:pPr>
        <w:spacing w:after="160" w:before="80"/>
      </w:pPr>
      <w:r>
        <w:rPr>
          <w:i/>
          <w:color w:val="5A5A5A"/>
          <w:sz w:val="20"/>
        </w:rPr>
        <w:t>This is general information, not legal advice. An SLA is binding when it is a term of the contract it sits in, and what happens on a breach depends on that contract, so read your own.</w:t>
      </w:r>
    </w:p>
    <w:p>
      <w:pPr>
        <w:pStyle w:val="Heading1"/>
      </w:pPr>
      <w:r>
        <w:t>10. Exclusions</w:t>
      </w:r>
    </w:p>
    <w:p>
      <w:r>
        <w:t>This SLA does not cover: [for example, delays waiting for the customer or a supplier]; [other exclusions].</w:t>
      </w:r>
    </w:p>
    <w:p>
      <w:pPr>
        <w:pStyle w:val="Heading1"/>
      </w:pPr>
      <w:r>
        <w:t>11. Review</w:t>
      </w:r>
    </w:p>
    <w:p>
      <w:r>
        <w:t>We report against this SLA [weekly] and review it every [few months], or when hours, staff or volume change.</w:t>
      </w:r>
    </w:p>
    <w:p>
      <w:r>
        <w:t>Last reviewed: [date] by [name]. Next review: [date].</w:t>
      </w:r>
    </w:p>
    <w:p>
      <w:pPr>
        <w:pStyle w:val="Heading1"/>
      </w:pPr>
      <w:r>
        <w:t>Before you publish or sign</w:t>
      </w:r>
    </w:p>
    <w:tbl>
      <w:tblPr>
        <w:tblW w:w="9411" w:type="dxa"/>
        <w:jc w:val="left"/>
        <w:tblBorders>
          <w:top w:val="single" w:sz="4" w:space="0" w:color="C8C8C8"/>
          <w:left w:val="single" w:sz="4" w:space="0" w:color="C8C8C8"/>
          <w:bottom w:val="single" w:sz="4" w:space="0" w:color="C8C8C8"/>
          <w:right w:val="single" w:sz="4" w:space="0" w:color="C8C8C8"/>
          <w:insideH w:val="single" w:sz="4" w:space="0" w:color="C8C8C8"/>
          <w:insideV w:val="single" w:sz="4" w:space="0" w:color="C8C8C8"/>
        </w:tblBorders>
        <w:tblLayout w:type="fixed"/>
        <w:tblCellMar>
          <w:top w:w="85" w:type="dxa"/>
          <w:left w:w="140" w:type="dxa"/>
          <w:bottom w:w="85" w:type="dxa"/>
          <w:right w:w="140" w:type="dxa"/>
        </w:tblCellMar>
        <w:tblLook w:firstColumn="1" w:firstRow="1" w:lastColumn="0" w:lastRow="0" w:noHBand="0" w:noVBand="1" w:val="04A0"/>
      </w:tblPr>
      <w:tblGrid>
        <w:gridCol w:w="794"/>
        <w:gridCol w:w="8617"/>
      </w:tblGrid>
      <w:tr>
        <w:trPr>
          <w:cantSplit/>
          <w:tblHeader/>
        </w:trPr>
        <w:tc>
          <w:tcPr>
            <w:tcW w:w="794" w:type="dxa"/>
            <w:shd w:val="clear" w:color="auto" w:fill="FCE7F3"/>
          </w:tcPr>
          <w:p>
            <w:pPr>
              <w:spacing w:after="0" w:line="264" w:lineRule="auto"/>
            </w:pPr>
            <w:r>
              <w:rPr>
                <w:b/>
                <w:sz w:val="20"/>
              </w:rPr>
              <w:t>Done</w:t>
            </w:r>
          </w:p>
        </w:tc>
        <w:tc>
          <w:tcPr>
            <w:tcW w:w="8617" w:type="dxa"/>
            <w:shd w:val="clear" w:color="auto" w:fill="FCE7F3"/>
          </w:tcPr>
          <w:p>
            <w:pPr>
              <w:spacing w:after="0" w:line="264" w:lineRule="auto"/>
            </w:pPr>
            <w:r>
              <w:rPr>
                <w:b/>
                <w:sz w:val="20"/>
              </w:rPr>
              <w:t>Check</w:t>
            </w:r>
          </w:p>
        </w:tc>
      </w:tr>
      <w:tr>
        <w:trPr>
          <w:cantSplit/>
        </w:trPr>
        <w:tc>
          <w:tcPr>
            <w:tcW w:w="794" w:type="dxa"/>
          </w:tcPr>
          <w:p>
            <w:pPr>
              <w:spacing w:after="0"/>
              <w:jc w:val="center"/>
            </w:pPr>
            <w:sdt>
              <w:sdtPr>
                <w:rPr>
                  <w:rFonts w:ascii="MS Gothic" w:eastAsia="MS Gothic" w:hAnsi="MS Gothic" w:hint="eastAsia"/>
                </w:rPr>
                <w:id w:val="15597504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8617" w:type="dxa"/>
          </w:tcPr>
          <w:p>
            <w:pPr>
              <w:spacing w:after="0" w:line="264" w:lineRule="auto"/>
            </w:pPr>
            <w:r>
              <w:rPr>
                <w:sz w:val="20"/>
              </w:rPr>
              <w:t>Targets differ by channel where phone, chat and email work differently.</w:t>
            </w:r>
          </w:p>
        </w:tc>
      </w:tr>
      <w:tr>
        <w:trPr>
          <w:cantSplit/>
        </w:trPr>
        <w:tc>
          <w:tcPr>
            <w:tcW w:w="794" w:type="dxa"/>
          </w:tcPr>
          <w:p>
            <w:pPr>
              <w:spacing w:after="0"/>
              <w:jc w:val="center"/>
            </w:pPr>
            <w:sdt>
              <w:sdtPr>
                <w:rPr>
                  <w:rFonts w:ascii="MS Gothic" w:eastAsia="MS Gothic" w:hAnsi="MS Gothic" w:hint="eastAsia"/>
                </w:rPr>
                <w:id w:val="8572274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8617" w:type="dxa"/>
          </w:tcPr>
          <w:p>
            <w:pPr>
              <w:spacing w:after="0" w:line="264" w:lineRule="auto"/>
            </w:pPr>
            <w:r>
              <w:rPr>
                <w:sz w:val="20"/>
              </w:rPr>
              <w:t>"Resolved" and "business day" are defined.</w:t>
            </w:r>
          </w:p>
        </w:tc>
      </w:tr>
      <w:tr>
        <w:trPr>
          <w:cantSplit/>
        </w:trPr>
        <w:tc>
          <w:tcPr>
            <w:tcW w:w="794" w:type="dxa"/>
          </w:tcPr>
          <w:p>
            <w:pPr>
              <w:spacing w:after="0"/>
              <w:jc w:val="center"/>
            </w:pPr>
            <w:sdt>
              <w:sdtPr>
                <w:rPr>
                  <w:rFonts w:ascii="MS Gothic" w:eastAsia="MS Gothic" w:hAnsi="MS Gothic" w:hint="eastAsia"/>
                </w:rPr>
                <w:id w:val="13440086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8617" w:type="dxa"/>
          </w:tcPr>
          <w:p>
            <w:pPr>
              <w:spacing w:after="0" w:line="264" w:lineRule="auto"/>
            </w:pPr>
            <w:r>
              <w:rPr>
                <w:sz w:val="20"/>
              </w:rPr>
              <w:t>Exclusions are listed, so you do not breach while waiting for the customer.</w:t>
            </w:r>
          </w:p>
        </w:tc>
      </w:tr>
      <w:tr>
        <w:trPr>
          <w:cantSplit/>
        </w:trPr>
        <w:tc>
          <w:tcPr>
            <w:tcW w:w="794" w:type="dxa"/>
          </w:tcPr>
          <w:p>
            <w:pPr>
              <w:spacing w:after="0"/>
              <w:jc w:val="center"/>
            </w:pPr>
            <w:sdt>
              <w:sdtPr>
                <w:rPr>
                  <w:rFonts w:ascii="MS Gothic" w:eastAsia="MS Gothic" w:hAnsi="MS Gothic" w:hint="eastAsia"/>
                </w:rPr>
                <w:id w:val="7076419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8617" w:type="dxa"/>
          </w:tcPr>
          <w:p>
            <w:pPr>
              <w:spacing w:after="0" w:line="264" w:lineRule="auto"/>
            </w:pPr>
            <w:r>
              <w:rPr>
                <w:sz w:val="20"/>
              </w:rPr>
              <w:t>Targets come from your own data, not from another business.</w:t>
            </w:r>
          </w:p>
        </w:tc>
      </w:tr>
      <w:tr>
        <w:trPr>
          <w:cantSplit/>
        </w:trPr>
        <w:tc>
          <w:tcPr>
            <w:tcW w:w="794" w:type="dxa"/>
          </w:tcPr>
          <w:p>
            <w:pPr>
              <w:spacing w:after="0"/>
              <w:jc w:val="center"/>
            </w:pPr>
            <w:sdt>
              <w:sdtPr>
                <w:rPr>
                  <w:rFonts w:ascii="MS Gothic" w:eastAsia="MS Gothic" w:hAnsi="MS Gothic" w:hint="eastAsia"/>
                </w:rPr>
                <w:id w:val="19336997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8617" w:type="dxa"/>
          </w:tcPr>
          <w:p>
            <w:pPr>
              <w:spacing w:after="0" w:line="264" w:lineRule="auto"/>
            </w:pPr>
            <w:r>
              <w:rPr>
                <w:sz w:val="20"/>
              </w:rPr>
              <w:t>The draft has been checked against a month of real conversations.</w:t>
            </w:r>
          </w:p>
        </w:tc>
      </w:tr>
      <w:tr>
        <w:trPr>
          <w:cantSplit/>
        </w:trPr>
        <w:tc>
          <w:tcPr>
            <w:tcW w:w="794" w:type="dxa"/>
          </w:tcPr>
          <w:p>
            <w:pPr>
              <w:spacing w:after="0"/>
              <w:jc w:val="center"/>
            </w:pPr>
            <w:sdt>
              <w:sdtPr>
                <w:rPr>
                  <w:rFonts w:ascii="MS Gothic" w:eastAsia="MS Gothic" w:hAnsi="MS Gothic" w:hint="eastAsia"/>
                </w:rPr>
                <w:id w:val="4705457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8617" w:type="dxa"/>
          </w:tcPr>
          <w:p>
            <w:pPr>
              <w:spacing w:after="0" w:line="264" w:lineRule="auto"/>
            </w:pPr>
            <w:r>
              <w:rPr>
                <w:sz w:val="20"/>
              </w:rPr>
              <w:t>The hours appear next to every promise, in your auto-reply and on your chat widget.</w:t>
            </w:r>
          </w:p>
        </w:tc>
      </w:tr>
      <w:tr>
        <w:trPr>
          <w:cantSplit/>
        </w:trPr>
        <w:tc>
          <w:tcPr>
            <w:tcW w:w="794" w:type="dxa"/>
          </w:tcPr>
          <w:p>
            <w:pPr>
              <w:spacing w:after="0"/>
              <w:jc w:val="center"/>
            </w:pPr>
            <w:sdt>
              <w:sdtPr>
                <w:rPr>
                  <w:rFonts w:ascii="MS Gothic" w:eastAsia="MS Gothic" w:hAnsi="MS Gothic" w:hint="eastAsia"/>
                </w:rPr>
                <w:id w:val="2041868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8617" w:type="dxa"/>
          </w:tcPr>
          <w:p>
            <w:pPr>
              <w:spacing w:after="0" w:line="264" w:lineRule="auto"/>
            </w:pPr>
            <w:r>
              <w:rPr>
                <w:sz w:val="20"/>
              </w:rPr>
              <w:t>Each promise is clear and published where the customer sees it.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1134" w:right="1247" w:bottom="1134" w:left="1247" w:header="567" w:footer="56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pBdr>
        <w:top w:val="single" w:sz="4" w:space="6" w:color="C8C8C8"/>
      </w:pBdr>
      <w:jc w:val="center"/>
    </w:pPr>
    <w:r/>
    <w:r>
      <w:rPr>
        <w:color w:val="5A5A5A"/>
        <w:sz w:val="18"/>
      </w:rPr>
      <w:t>Template from ant-assist.com · Free to use and adapt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hAnsi="Arial" w:eastAsia="Arial" w:cs="Arial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Arial" w:hAnsi="Arial" w:eastAsia="Arial" w:cs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Arial" w:hAnsi="Arial" w:eastAsia="Arial" w:cs="Arial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Arial" w:hAnsi="Arial" w:eastAsia="Arial" w:cs="Arial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80" w:line="264" w:lineRule="auto"/>
      <w:outlineLvl w:val="0"/>
    </w:pPr>
    <w:rPr>
      <w:rFonts w:ascii="Arial" w:hAnsi="Arial" w:eastAsia="Arial" w:cs="Arial"/>
      <w:b/>
      <w:bCs/>
      <w:i w:val="0"/>
      <w:color w:val="C9165B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60" w:line="264" w:lineRule="auto"/>
      <w:outlineLvl w:val="1"/>
    </w:pPr>
    <w:rPr>
      <w:rFonts w:ascii="Arial" w:hAnsi="Arial" w:eastAsia="Arial" w:cs="Arial"/>
      <w:b/>
      <w:bCs/>
      <w:i w:val="0"/>
      <w:color w:val="C9165B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80" w:after="40" w:line="264" w:lineRule="auto"/>
      <w:outlineLvl w:val="2"/>
    </w:pPr>
    <w:rPr>
      <w:rFonts w:ascii="Arial" w:hAnsi="Arial" w:eastAsia="Arial" w:cs="Arial"/>
      <w:b/>
      <w:bCs/>
      <w:i w:val="0"/>
      <w:color w:val="C9165B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20" w:line="264" w:lineRule="auto" w:before="0"/>
      <w:contextualSpacing/>
    </w:pPr>
    <w:rPr>
      <w:rFonts w:ascii="Arial" w:hAnsi="Arial" w:eastAsia="Arial" w:cs="Arial"/>
      <w:b/>
      <w:i w:val="0"/>
      <w:color w:val="C9165B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/>
      <w:contextualSpacing/>
    </w:pPr>
    <w:rPr>
      <w:rFonts w:ascii="Arial" w:hAnsi="Arial" w:eastAsia="Arial" w:cs="Arial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Customer service SLA template</dc:title>
  <dc:subject>Customer service service level agreement (SLA) template</dc:subject>
  <dc:creator>Ant Assist</dc:creator>
  <cp:keywords>SLA, service level agreement, customer service, response time, template</cp:keywords>
  <dc:description>Free template from ant-assist.com. Source guide: https://ant-assist.com/resources/customer-service-sla/</dc:description>
  <cp:lastModifiedBy>Ant Assist</cp:lastModifiedBy>
  <cp:revision>1</cp:revision>
  <dcterms:created xsi:type="dcterms:W3CDTF">2026-10-22T09:00:00Z</dcterms:created>
  <dcterms:modified xsi:type="dcterms:W3CDTF">2026-10-22T09:00:00Z</dcterms:modified>
  <cp:category>Template</cp:category>
  <dc:language>en-GB</dc:language>
</cp:coreProperties>
</file>